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34" w:rsidRPr="00535D34" w:rsidRDefault="00543742" w:rsidP="008B79F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lt-LT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6"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-327660</wp:posOffset>
            </wp:positionV>
            <wp:extent cx="2085975" cy="685800"/>
            <wp:effectExtent l="0" t="0" r="9525" b="0"/>
            <wp:wrapThrough wrapText="bothSides">
              <wp:wrapPolygon edited="0">
                <wp:start x="0" y="0"/>
                <wp:lineTo x="0" y="21000"/>
                <wp:lineTo x="21501" y="21000"/>
                <wp:lineTo x="21501" y="0"/>
                <wp:lineTo x="0" y="0"/>
              </wp:wrapPolygon>
            </wp:wrapThrough>
            <wp:docPr id="10" name="Paveikslėlis 10" descr="C:\Users\Indre\Desktop\SK ekslibris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dre\Desktop\SK ekslibrisa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D34" w:rsidRPr="00535D34">
        <w:rPr>
          <w:rFonts w:ascii="Times New Roman" w:eastAsia="Times New Roman" w:hAnsi="Times New Roman" w:cs="Times New Roman"/>
          <w:b/>
          <w:bCs/>
          <w:sz w:val="32"/>
          <w:szCs w:val="36"/>
          <w:lang w:eastAsia="lt-LT"/>
        </w:rPr>
        <w:t>Skaitymo iššūki</w:t>
      </w:r>
      <w:r w:rsidR="008B79F9" w:rsidRPr="00C07E3E">
        <w:rPr>
          <w:rFonts w:ascii="Times New Roman" w:eastAsia="Times New Roman" w:hAnsi="Times New Roman" w:cs="Times New Roman"/>
          <w:b/>
          <w:bCs/>
          <w:sz w:val="32"/>
          <w:szCs w:val="36"/>
          <w:lang w:eastAsia="lt-LT"/>
        </w:rPr>
        <w:t>o finalas,</w:t>
      </w:r>
      <w:r w:rsidR="00C07E3E" w:rsidRPr="00C07E3E">
        <w:rPr>
          <w:rFonts w:ascii="Times New Roman" w:eastAsia="Times New Roman" w:hAnsi="Times New Roman" w:cs="Times New Roman"/>
          <w:b/>
          <w:bCs/>
          <w:sz w:val="32"/>
          <w:szCs w:val="36"/>
          <w:lang w:eastAsia="lt-LT"/>
        </w:rPr>
        <w:t xml:space="preserve"> rekordai ir</w:t>
      </w:r>
      <w:r w:rsidR="008B79F9" w:rsidRPr="00C07E3E">
        <w:rPr>
          <w:rFonts w:ascii="Times New Roman" w:eastAsia="Times New Roman" w:hAnsi="Times New Roman" w:cs="Times New Roman"/>
          <w:b/>
          <w:bCs/>
          <w:sz w:val="32"/>
          <w:szCs w:val="36"/>
          <w:lang w:eastAsia="lt-LT"/>
        </w:rPr>
        <w:t xml:space="preserve"> rezultatai </w:t>
      </w:r>
    </w:p>
    <w:p w:rsidR="005B1663" w:rsidRPr="00490362" w:rsidRDefault="00535D34" w:rsidP="000D11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5D34">
        <w:rPr>
          <w:rFonts w:ascii="Times New Roman" w:eastAsia="Times New Roman" w:hAnsi="Times New Roman" w:cs="Times New Roman"/>
          <w:sz w:val="24"/>
          <w:szCs w:val="24"/>
          <w:lang w:eastAsia="lt-LT"/>
        </w:rPr>
        <w:t>Jeigu visi skaitymo iššūkio „Vasara su knyga“ dalyviai susikibtų rankomis, susidarytų net keliasdešimt</w:t>
      </w:r>
      <w:r w:rsidR="00392264">
        <w:rPr>
          <w:rFonts w:ascii="Times New Roman" w:eastAsia="Times New Roman" w:hAnsi="Times New Roman" w:cs="Times New Roman"/>
          <w:sz w:val="24"/>
          <w:szCs w:val="24"/>
          <w:lang w:eastAsia="lt-LT"/>
        </w:rPr>
        <w:t>ies</w:t>
      </w:r>
      <w:r w:rsidRPr="00535D3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kilometrų eilė! Labai simboliška, nes šių metų šūkis ir buvo – „Skaitymas mus jungia!“</w:t>
      </w:r>
      <w:r w:rsidRPr="004903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kuriame dalyvavo </w:t>
      </w:r>
      <w:r w:rsidRPr="00535D34">
        <w:rPr>
          <w:rFonts w:ascii="Times New Roman" w:eastAsia="Times New Roman" w:hAnsi="Times New Roman" w:cs="Times New Roman"/>
          <w:sz w:val="24"/>
          <w:szCs w:val="24"/>
          <w:lang w:eastAsia="lt-LT"/>
        </w:rPr>
        <w:t>rekordinis skaitytojų skaičius</w:t>
      </w:r>
      <w:r w:rsidR="001D3E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535D34">
        <w:rPr>
          <w:rFonts w:ascii="Times New Roman" w:eastAsia="Times New Roman" w:hAnsi="Times New Roman" w:cs="Times New Roman"/>
          <w:sz w:val="24"/>
          <w:szCs w:val="24"/>
          <w:lang w:eastAsia="lt-LT"/>
        </w:rPr>
        <w:t>– daugiau kaip 20 000 žmonių</w:t>
      </w:r>
      <w:r w:rsidR="001D3E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visoje Lietuvoje</w:t>
      </w:r>
      <w:r w:rsidR="0096146D" w:rsidRPr="00490362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535D34" w:rsidRPr="00490362" w:rsidRDefault="00535D34" w:rsidP="000D116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0362">
        <w:rPr>
          <w:rFonts w:ascii="Times New Roman" w:hAnsi="Times New Roman" w:cs="Times New Roman"/>
          <w:sz w:val="24"/>
          <w:szCs w:val="24"/>
        </w:rPr>
        <w:t xml:space="preserve">Mažeikių rajono savivaldybės viešojoje bibliotekoje prie </w:t>
      </w:r>
      <w:r w:rsidR="00446609">
        <w:rPr>
          <w:rFonts w:ascii="Times New Roman" w:hAnsi="Times New Roman" w:cs="Times New Roman"/>
          <w:sz w:val="24"/>
          <w:szCs w:val="24"/>
        </w:rPr>
        <w:t>s</w:t>
      </w:r>
      <w:r w:rsidRPr="00490362">
        <w:rPr>
          <w:rFonts w:ascii="Times New Roman" w:hAnsi="Times New Roman" w:cs="Times New Roman"/>
          <w:sz w:val="24"/>
          <w:szCs w:val="24"/>
        </w:rPr>
        <w:t>kaitymo iš</w:t>
      </w:r>
      <w:r w:rsidR="00E40260" w:rsidRPr="00490362">
        <w:rPr>
          <w:rFonts w:ascii="Times New Roman" w:hAnsi="Times New Roman" w:cs="Times New Roman"/>
          <w:sz w:val="24"/>
          <w:szCs w:val="24"/>
        </w:rPr>
        <w:t>šūkio prisijungė 221 dalyvis</w:t>
      </w:r>
      <w:r w:rsidRPr="00490362">
        <w:rPr>
          <w:rFonts w:ascii="Times New Roman" w:hAnsi="Times New Roman" w:cs="Times New Roman"/>
          <w:sz w:val="24"/>
          <w:szCs w:val="24"/>
        </w:rPr>
        <w:t xml:space="preserve">, o visas penkias organizatorių sugalvotas užduotis įveikė net </w:t>
      </w:r>
      <w:r w:rsidR="00E40260" w:rsidRPr="00490362">
        <w:rPr>
          <w:rFonts w:ascii="Times New Roman" w:hAnsi="Times New Roman" w:cs="Times New Roman"/>
          <w:sz w:val="24"/>
          <w:szCs w:val="24"/>
        </w:rPr>
        <w:t>155 skaitytojai. Iš viso per tris mėnesius trukusią akciją buvo perskaityta daugiau kaip 971 knyga!</w:t>
      </w:r>
    </w:p>
    <w:p w:rsidR="00490362" w:rsidRPr="008B79F9" w:rsidRDefault="00446609" w:rsidP="000D116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Norintys įveikti vasaros s</w:t>
      </w:r>
      <w:r w:rsidR="008B79F9" w:rsidRPr="008B79F9">
        <w:rPr>
          <w:rFonts w:ascii="Times New Roman" w:hAnsi="Times New Roman" w:cs="Times New Roman"/>
          <w:sz w:val="24"/>
          <w:szCs w:val="24"/>
        </w:rPr>
        <w:t>kaitymo iššūkį turėjo atlikti 5 užduotis:  perskaityti knygą, kurios autorius yra iš Šiaurės šalių; perskaityti knygą, kurios pavadinime yra skaičius; perskaityti knygą apie gamtą; perskaityti knygą apie draugystę ir perskaityti eiliuotą knygą. Daugiausiai perskaityta knygų apie draugystę, bene sunkiausiai dalyviams sekėsi rinktis ir skaityti eiliuotas knygas.</w:t>
      </w:r>
    </w:p>
    <w:p w:rsidR="00C94E01" w:rsidRDefault="00C94E01" w:rsidP="00490362">
      <w:pPr>
        <w:spacing w:after="0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90362" w:rsidRPr="001D3E9F" w:rsidRDefault="00490362" w:rsidP="00490362">
      <w:pPr>
        <w:spacing w:after="0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3E9F">
        <w:rPr>
          <w:rFonts w:ascii="Times New Roman" w:hAnsi="Times New Roman" w:cs="Times New Roman"/>
          <w:i/>
          <w:sz w:val="24"/>
          <w:szCs w:val="24"/>
        </w:rPr>
        <w:t>Skaitymo iššūkyje perskaityta knygų:</w:t>
      </w:r>
    </w:p>
    <w:p w:rsidR="00490362" w:rsidRPr="00490362" w:rsidRDefault="00490362" w:rsidP="00490362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vidutinissraas5parykinimas"/>
        <w:tblW w:w="0" w:type="auto"/>
        <w:tblLook w:val="04A0" w:firstRow="1" w:lastRow="0" w:firstColumn="1" w:lastColumn="0" w:noHBand="0" w:noVBand="1"/>
      </w:tblPr>
      <w:tblGrid>
        <w:gridCol w:w="468"/>
        <w:gridCol w:w="1276"/>
        <w:gridCol w:w="4442"/>
        <w:gridCol w:w="2215"/>
      </w:tblGrid>
      <w:tr w:rsidR="008B79F9" w:rsidRPr="00490362" w:rsidTr="00FF0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shd w:val="clear" w:color="auto" w:fill="DBE5F1" w:themeFill="accent1" w:themeFillTint="33"/>
            <w:vAlign w:val="center"/>
          </w:tcPr>
          <w:p w:rsidR="00490362" w:rsidRPr="00490362" w:rsidRDefault="00490362" w:rsidP="00FF01BB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490362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490362" w:rsidRPr="00490362" w:rsidRDefault="00490362" w:rsidP="008B79F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362">
              <w:rPr>
                <w:noProof/>
                <w:lang w:eastAsia="lt-LT"/>
              </w:rPr>
              <w:drawing>
                <wp:inline distT="0" distB="0" distL="0" distR="0" wp14:anchorId="5404B81D" wp14:editId="5418038E">
                  <wp:extent cx="662267" cy="562927"/>
                  <wp:effectExtent l="0" t="0" r="5080" b="8890"/>
                  <wp:docPr id="1" name="Paveikslėlis 1" descr="C:\Users\Indre\AppData\Local\Microsoft\Windows\INetCache\Content.Word\SK titulin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ndre\AppData\Local\Microsoft\Windows\INetCache\Content.Word\SK titulin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406" cy="56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  <w:shd w:val="clear" w:color="auto" w:fill="DBE5F1" w:themeFill="accent1" w:themeFillTint="33"/>
            <w:vAlign w:val="center"/>
          </w:tcPr>
          <w:p w:rsidR="00490362" w:rsidRPr="00490362" w:rsidRDefault="00490362" w:rsidP="00FF01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362">
              <w:rPr>
                <w:rFonts w:ascii="Times New Roman" w:hAnsi="Times New Roman" w:cs="Times New Roman"/>
                <w:sz w:val="24"/>
                <w:szCs w:val="24"/>
              </w:rPr>
              <w:t>Knyga, kurios autorius yra iš Šiaurės šalių</w:t>
            </w:r>
            <w:r w:rsidR="008B79F9">
              <w:rPr>
                <w:rFonts w:ascii="Times New Roman" w:hAnsi="Times New Roman" w:cs="Times New Roman"/>
                <w:sz w:val="24"/>
                <w:szCs w:val="24"/>
              </w:rPr>
              <w:t xml:space="preserve">  ̶</w:t>
            </w:r>
          </w:p>
        </w:tc>
        <w:tc>
          <w:tcPr>
            <w:tcW w:w="2215" w:type="dxa"/>
            <w:shd w:val="clear" w:color="auto" w:fill="DBE5F1" w:themeFill="accent1" w:themeFillTint="33"/>
            <w:vAlign w:val="center"/>
          </w:tcPr>
          <w:p w:rsidR="00490362" w:rsidRPr="00490362" w:rsidRDefault="00490362" w:rsidP="00FF01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362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knygos</w:t>
            </w:r>
          </w:p>
        </w:tc>
      </w:tr>
      <w:tr w:rsidR="008B79F9" w:rsidRPr="00490362" w:rsidTr="00FF0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shd w:val="clear" w:color="auto" w:fill="FFFFFF" w:themeFill="background1"/>
            <w:vAlign w:val="center"/>
          </w:tcPr>
          <w:p w:rsidR="00490362" w:rsidRPr="00490362" w:rsidRDefault="00490362" w:rsidP="00FF01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shd w:val="clear" w:color="auto" w:fill="FFFFFF" w:themeFill="background1"/>
          </w:tcPr>
          <w:p w:rsidR="00490362" w:rsidRPr="00490362" w:rsidRDefault="00490362" w:rsidP="008B79F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046055E9" wp14:editId="7ECC7A9F">
                  <wp:extent cx="642461" cy="568550"/>
                  <wp:effectExtent l="0" t="0" r="5715" b="3175"/>
                  <wp:docPr id="2" name="Paveikslėlis 2" descr="C:\Users\Indre\AppData\Local\Microsoft\Windows\INetCache\Content.Word\SK titulin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ndre\AppData\Local\Microsoft\Windows\INetCache\Content.Word\SK titulin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346" cy="572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  <w:shd w:val="clear" w:color="auto" w:fill="FFFFFF" w:themeFill="background1"/>
            <w:vAlign w:val="center"/>
          </w:tcPr>
          <w:p w:rsidR="00490362" w:rsidRPr="00490362" w:rsidRDefault="00490362" w:rsidP="00FF0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Knyga, kurios pavadinime yra skaičius</w:t>
            </w:r>
            <w:r w:rsidR="008B7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9F9">
              <w:rPr>
                <w:rFonts w:ascii="Times New Roman" w:hAnsi="Times New Roman" w:cs="Times New Roman"/>
                <w:sz w:val="24"/>
                <w:szCs w:val="24"/>
              </w:rPr>
              <w:t xml:space="preserve"> ̶</w:t>
            </w: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:rsidR="00490362" w:rsidRPr="00490362" w:rsidRDefault="00490362" w:rsidP="00FF0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knygos</w:t>
            </w:r>
          </w:p>
        </w:tc>
      </w:tr>
      <w:tr w:rsidR="008B79F9" w:rsidRPr="00490362" w:rsidTr="00FF0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shd w:val="clear" w:color="auto" w:fill="DBE5F1" w:themeFill="accent1" w:themeFillTint="33"/>
            <w:vAlign w:val="center"/>
          </w:tcPr>
          <w:p w:rsidR="00490362" w:rsidRPr="00490362" w:rsidRDefault="00490362" w:rsidP="00FF01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490362" w:rsidRPr="00490362" w:rsidRDefault="00490362" w:rsidP="008B79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1B529902" wp14:editId="4AC4A490">
                  <wp:extent cx="596594" cy="614315"/>
                  <wp:effectExtent l="0" t="0" r="0" b="0"/>
                  <wp:docPr id="3" name="Paveikslėlis 3" descr="C:\Users\Indre\AppData\Local\Microsoft\Windows\INetCache\Content.Word\SK titulin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ndre\AppData\Local\Microsoft\Windows\INetCache\Content.Word\SK titulin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332" cy="617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  <w:shd w:val="clear" w:color="auto" w:fill="DBE5F1" w:themeFill="accent1" w:themeFillTint="33"/>
            <w:vAlign w:val="center"/>
          </w:tcPr>
          <w:p w:rsidR="00490362" w:rsidRPr="00A03ED3" w:rsidRDefault="00490362" w:rsidP="00A41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D3">
              <w:rPr>
                <w:rFonts w:ascii="Times New Roman" w:hAnsi="Times New Roman" w:cs="Times New Roman"/>
                <w:b/>
                <w:sz w:val="24"/>
                <w:szCs w:val="24"/>
              </w:rPr>
              <w:t>Knyga apie draugyst</w:t>
            </w:r>
            <w:r w:rsidR="00A417D0">
              <w:rPr>
                <w:rFonts w:ascii="Times New Roman" w:hAnsi="Times New Roman" w:cs="Times New Roman"/>
                <w:b/>
                <w:sz w:val="24"/>
                <w:szCs w:val="24"/>
              </w:rPr>
              <w:t>ę</w:t>
            </w:r>
            <w:r w:rsidR="008B79F9" w:rsidRPr="00A03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3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B79F9" w:rsidRPr="00A03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̶</w:t>
            </w:r>
          </w:p>
        </w:tc>
        <w:tc>
          <w:tcPr>
            <w:tcW w:w="2215" w:type="dxa"/>
            <w:shd w:val="clear" w:color="auto" w:fill="DBE5F1" w:themeFill="accent1" w:themeFillTint="33"/>
            <w:vAlign w:val="center"/>
          </w:tcPr>
          <w:p w:rsidR="00490362" w:rsidRPr="00A03ED3" w:rsidRDefault="00490362" w:rsidP="00FF0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D3">
              <w:rPr>
                <w:rFonts w:ascii="Times New Roman" w:hAnsi="Times New Roman" w:cs="Times New Roman"/>
                <w:b/>
                <w:sz w:val="24"/>
                <w:szCs w:val="24"/>
              </w:rPr>
              <w:t>240 knygų</w:t>
            </w:r>
          </w:p>
        </w:tc>
      </w:tr>
      <w:tr w:rsidR="008B79F9" w:rsidRPr="00490362" w:rsidTr="00FF0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shd w:val="clear" w:color="auto" w:fill="FFFFFF" w:themeFill="background1"/>
            <w:vAlign w:val="center"/>
          </w:tcPr>
          <w:p w:rsidR="00490362" w:rsidRPr="00490362" w:rsidRDefault="00490362" w:rsidP="00FF01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shd w:val="clear" w:color="auto" w:fill="FFFFFF" w:themeFill="background1"/>
          </w:tcPr>
          <w:p w:rsidR="00490362" w:rsidRPr="00490362" w:rsidRDefault="008B79F9" w:rsidP="008B79F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35E1B9FD" wp14:editId="2FA8EFE9">
                  <wp:extent cx="673227" cy="590550"/>
                  <wp:effectExtent l="0" t="0" r="0" b="0"/>
                  <wp:docPr id="4" name="Paveikslėlis 4" descr="C:\Users\Indre\AppData\Local\Microsoft\Windows\INetCache\Content.Word\SK titulin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ndre\AppData\Local\Microsoft\Windows\INetCache\Content.Word\SK titulin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227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  <w:shd w:val="clear" w:color="auto" w:fill="FFFFFF" w:themeFill="background1"/>
            <w:vAlign w:val="center"/>
          </w:tcPr>
          <w:p w:rsidR="00490362" w:rsidRPr="00490362" w:rsidRDefault="00490362" w:rsidP="00FF0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Knyga apie gamtą</w:t>
            </w:r>
            <w:r w:rsidR="008B7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E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B79F9">
              <w:rPr>
                <w:rFonts w:ascii="Times New Roman" w:hAnsi="Times New Roman" w:cs="Times New Roman"/>
                <w:sz w:val="24"/>
                <w:szCs w:val="24"/>
              </w:rPr>
              <w:t xml:space="preserve"> ̶</w:t>
            </w: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:rsidR="00490362" w:rsidRPr="00490362" w:rsidRDefault="008B79F9" w:rsidP="00FF0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 knyga</w:t>
            </w:r>
          </w:p>
        </w:tc>
      </w:tr>
      <w:tr w:rsidR="00490362" w:rsidRPr="00490362" w:rsidTr="00FF0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shd w:val="clear" w:color="auto" w:fill="DBE5F1" w:themeFill="accent1" w:themeFillTint="33"/>
            <w:vAlign w:val="center"/>
          </w:tcPr>
          <w:p w:rsidR="00490362" w:rsidRPr="00490362" w:rsidRDefault="00490362" w:rsidP="00FF01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490362" w:rsidRPr="00490362" w:rsidRDefault="008B79F9" w:rsidP="008B79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061808A8" wp14:editId="6310CB5A">
                  <wp:extent cx="637986" cy="602211"/>
                  <wp:effectExtent l="0" t="0" r="0" b="7620"/>
                  <wp:docPr id="5" name="Paveikslėlis 5" descr="C:\Users\Indre\AppData\Local\Microsoft\Windows\INetCache\Content.Word\SK titulin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Indre\AppData\Local\Microsoft\Windows\INetCache\Content.Word\SK titulin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64" cy="602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  <w:vAlign w:val="center"/>
          </w:tcPr>
          <w:p w:rsidR="00490362" w:rsidRPr="00490362" w:rsidRDefault="00490362" w:rsidP="00FF0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Eiliuota knyga</w:t>
            </w:r>
            <w:r w:rsidR="008B7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9F9">
              <w:rPr>
                <w:rFonts w:ascii="Times New Roman" w:hAnsi="Times New Roman" w:cs="Times New Roman"/>
                <w:sz w:val="24"/>
                <w:szCs w:val="24"/>
              </w:rPr>
              <w:t xml:space="preserve"> ̶</w:t>
            </w:r>
            <w:r w:rsidR="00A03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5" w:type="dxa"/>
            <w:vAlign w:val="center"/>
          </w:tcPr>
          <w:p w:rsidR="00490362" w:rsidRPr="00490362" w:rsidRDefault="008B79F9" w:rsidP="00FF0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knygų</w:t>
            </w:r>
          </w:p>
        </w:tc>
      </w:tr>
    </w:tbl>
    <w:p w:rsidR="00490362" w:rsidRDefault="00490362" w:rsidP="000D116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91689" w:rsidRDefault="00446609" w:rsidP="008612AB">
      <w:pPr>
        <w:pStyle w:val="prastasistinklapis"/>
        <w:spacing w:before="0" w:beforeAutospacing="0" w:after="0" w:afterAutospacing="0"/>
        <w:ind w:firstLine="851"/>
        <w:jc w:val="both"/>
      </w:pPr>
      <w:r>
        <w:t>Džiugina, kad šįkart s</w:t>
      </w:r>
      <w:r w:rsidR="008B79F9">
        <w:t xml:space="preserve">kaitymo iššūkio dalyvių auditorija kaip niekad marga: jeigu ankstesniais metais aktyviausi dalyviai buvo vaikai ir jaunimas iki 19 metų, šiemet juos pasivijo suaugusieji. </w:t>
      </w:r>
      <w:bookmarkStart w:id="0" w:name="_GoBack"/>
      <w:bookmarkEnd w:id="0"/>
    </w:p>
    <w:p w:rsidR="008612AB" w:rsidRDefault="008612AB" w:rsidP="0037519F">
      <w:pPr>
        <w:pStyle w:val="prastasistinklapis"/>
        <w:spacing w:before="0" w:beforeAutospacing="0" w:after="0" w:afterAutospacing="0"/>
        <w:jc w:val="center"/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19050" b="19050"/>
            <wp:docPr id="6" name="Diagrama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91689" w:rsidRDefault="00D91689" w:rsidP="00D91689">
      <w:pPr>
        <w:pStyle w:val="prastasistinklapis"/>
        <w:spacing w:before="0" w:beforeAutospacing="0" w:after="0" w:afterAutospacing="0"/>
        <w:ind w:firstLine="851"/>
        <w:jc w:val="both"/>
      </w:pPr>
    </w:p>
    <w:p w:rsidR="00D91689" w:rsidRDefault="00D91689" w:rsidP="0099535A">
      <w:pPr>
        <w:pStyle w:val="prastasistinklapis"/>
        <w:spacing w:before="0" w:beforeAutospacing="0" w:after="0" w:afterAutospacing="0"/>
        <w:ind w:firstLine="851"/>
        <w:jc w:val="both"/>
      </w:pPr>
      <w:r>
        <w:t xml:space="preserve">Didžiausias </w:t>
      </w:r>
      <w:r w:rsidR="000A4A75">
        <w:t xml:space="preserve">skaitytojų </w:t>
      </w:r>
      <w:r>
        <w:t xml:space="preserve">susidomėjimas ir aktyvumas nuo 8 iki 14 </w:t>
      </w:r>
      <w:r w:rsidR="00543742">
        <w:t xml:space="preserve">metų </w:t>
      </w:r>
      <w:r w:rsidR="000A4A75">
        <w:t xml:space="preserve"> (</w:t>
      </w:r>
      <w:r w:rsidR="006E5FD7">
        <w:t>59 žmonės</w:t>
      </w:r>
      <w:r w:rsidR="000A4A75">
        <w:t>)</w:t>
      </w:r>
      <w:r w:rsidR="006E5FD7">
        <w:t>;</w:t>
      </w:r>
      <w:r w:rsidR="007E4568">
        <w:t xml:space="preserve"> </w:t>
      </w:r>
      <w:r>
        <w:t>antroje vietoje</w:t>
      </w:r>
      <w:r w:rsidR="000A4A75">
        <w:t xml:space="preserve">  ̶ </w:t>
      </w:r>
      <w:r>
        <w:t xml:space="preserve"> nuo 46 iki 64 metų </w:t>
      </w:r>
      <w:r w:rsidR="000A4A75">
        <w:t>(</w:t>
      </w:r>
      <w:r>
        <w:t>26 žmonės</w:t>
      </w:r>
      <w:r w:rsidR="000A4A75">
        <w:t>)</w:t>
      </w:r>
      <w:r w:rsidR="006E5FD7">
        <w:t>;</w:t>
      </w:r>
      <w:r w:rsidR="007E4568">
        <w:t xml:space="preserve"> </w:t>
      </w:r>
      <w:r>
        <w:t>trečioje vietoje</w:t>
      </w:r>
      <w:r w:rsidR="000A4A75">
        <w:t xml:space="preserve">  ̶  n</w:t>
      </w:r>
      <w:r>
        <w:t>uo 31 iki 45 metų</w:t>
      </w:r>
      <w:r w:rsidR="000A4A75">
        <w:t xml:space="preserve"> (</w:t>
      </w:r>
      <w:r>
        <w:t>20 žmonių</w:t>
      </w:r>
      <w:r w:rsidR="000A4A75">
        <w:t>)</w:t>
      </w:r>
      <w:r w:rsidR="007E4568">
        <w:t>. Mažiausias skaitytojų aktyvumas</w:t>
      </w:r>
      <w:r w:rsidR="00352B3F">
        <w:t xml:space="preserve"> pastebimas</w:t>
      </w:r>
      <w:r w:rsidR="007E4568">
        <w:t xml:space="preserve"> </w:t>
      </w:r>
      <w:r w:rsidR="00543742">
        <w:t xml:space="preserve">nuo </w:t>
      </w:r>
      <w:r w:rsidR="007E4568">
        <w:t>20 iki 30 metų amžiaus grupėje.</w:t>
      </w:r>
    </w:p>
    <w:p w:rsidR="008612AB" w:rsidRDefault="008612AB" w:rsidP="0099535A">
      <w:pPr>
        <w:pStyle w:val="prastasistinklapis"/>
        <w:spacing w:before="0" w:beforeAutospacing="0" w:after="0" w:afterAutospacing="0"/>
        <w:ind w:firstLine="851"/>
        <w:jc w:val="both"/>
      </w:pPr>
    </w:p>
    <w:p w:rsidR="008B79F9" w:rsidRDefault="00446609" w:rsidP="0099535A">
      <w:pPr>
        <w:pStyle w:val="prastasistinklapis"/>
        <w:spacing w:before="0" w:beforeAutospacing="0" w:after="0" w:afterAutospacing="0"/>
        <w:ind w:firstLine="851"/>
        <w:jc w:val="both"/>
      </w:pPr>
      <w:r>
        <w:t>Populiariausios s</w:t>
      </w:r>
      <w:r w:rsidR="008B79F9">
        <w:t>kaitymo iššūkyje – vaikų literatūros klasika tapusios knygos ir su</w:t>
      </w:r>
      <w:r>
        <w:t>augusiųjų literatūra. Jaunieji s</w:t>
      </w:r>
      <w:r w:rsidR="008B79F9">
        <w:t xml:space="preserve">kaitymo iššūkio dalyviai vienu metu nušovė du zuikius – atlikdami skaitymo užduotis noriai skaitė ir knygas, esančias mokiniams rekomenduojamuose sąrašuose. Taigi populiariausiomis knygomis tapo </w:t>
      </w:r>
      <w:proofErr w:type="spellStart"/>
      <w:r w:rsidR="008B79F9">
        <w:t>Selemono</w:t>
      </w:r>
      <w:proofErr w:type="spellEnd"/>
      <w:r w:rsidR="008B79F9">
        <w:t xml:space="preserve"> Pal</w:t>
      </w:r>
      <w:r w:rsidR="00266581">
        <w:t>tanavičiaus „Gamtos metų ratas“</w:t>
      </w:r>
      <w:r w:rsidR="00B765CC">
        <w:t xml:space="preserve"> ir </w:t>
      </w:r>
      <w:r w:rsidR="00266581">
        <w:t>„</w:t>
      </w:r>
      <w:proofErr w:type="spellStart"/>
      <w:r w:rsidR="00266581">
        <w:t>Voveriuko</w:t>
      </w:r>
      <w:proofErr w:type="spellEnd"/>
      <w:r w:rsidR="00266581">
        <w:t xml:space="preserve"> metai“, </w:t>
      </w:r>
      <w:r w:rsidR="008B79F9">
        <w:t xml:space="preserve">Astridos </w:t>
      </w:r>
      <w:proofErr w:type="spellStart"/>
      <w:r w:rsidR="008B79F9">
        <w:t>Lindgren</w:t>
      </w:r>
      <w:proofErr w:type="spellEnd"/>
      <w:r w:rsidR="008B79F9">
        <w:t xml:space="preserve"> „Pepė </w:t>
      </w:r>
      <w:proofErr w:type="spellStart"/>
      <w:r w:rsidR="008B79F9">
        <w:t>Ilgakojinė</w:t>
      </w:r>
      <w:proofErr w:type="spellEnd"/>
      <w:r w:rsidR="008B79F9">
        <w:t>“</w:t>
      </w:r>
      <w:r w:rsidR="00B765CC">
        <w:t xml:space="preserve">  ir</w:t>
      </w:r>
      <w:r w:rsidR="00266581">
        <w:t xml:space="preserve"> „Emilis iš </w:t>
      </w:r>
      <w:proofErr w:type="spellStart"/>
      <w:r w:rsidR="00266581">
        <w:t>Lionebergos</w:t>
      </w:r>
      <w:proofErr w:type="spellEnd"/>
      <w:r w:rsidR="00266581">
        <w:t>“</w:t>
      </w:r>
      <w:r w:rsidR="008B79F9">
        <w:t xml:space="preserve">, </w:t>
      </w:r>
      <w:r w:rsidR="00B765CC">
        <w:t xml:space="preserve">D. </w:t>
      </w:r>
      <w:proofErr w:type="spellStart"/>
      <w:r w:rsidR="00B765CC">
        <w:t>Pancerovo</w:t>
      </w:r>
      <w:proofErr w:type="spellEnd"/>
      <w:r w:rsidR="00B765CC">
        <w:t xml:space="preserve"> ir B. </w:t>
      </w:r>
      <w:proofErr w:type="spellStart"/>
      <w:r w:rsidR="00B765CC">
        <w:t>Davidonytės</w:t>
      </w:r>
      <w:proofErr w:type="spellEnd"/>
      <w:r w:rsidR="00B765CC">
        <w:t xml:space="preserve"> „Kabinetas 339“, </w:t>
      </w:r>
      <w:proofErr w:type="spellStart"/>
      <w:r w:rsidR="00B765CC">
        <w:t>Andy</w:t>
      </w:r>
      <w:proofErr w:type="spellEnd"/>
      <w:r w:rsidR="00B765CC">
        <w:t xml:space="preserve"> </w:t>
      </w:r>
      <w:proofErr w:type="spellStart"/>
      <w:r w:rsidR="009E163A">
        <w:t>Griffiths</w:t>
      </w:r>
      <w:proofErr w:type="spellEnd"/>
      <w:r w:rsidR="00B765CC">
        <w:t xml:space="preserve"> „13-os aukštų nameli</w:t>
      </w:r>
      <w:r w:rsidR="00392264">
        <w:t>s medyje“, Salomėjos Nė</w:t>
      </w:r>
      <w:r w:rsidR="00B765CC">
        <w:t>ries „Eglė žalčių karalienė“, Rapo</w:t>
      </w:r>
      <w:r w:rsidR="00392264">
        <w:t xml:space="preserve">lo Dapkaus „Rudenėjančių vėjų </w:t>
      </w:r>
      <w:proofErr w:type="spellStart"/>
      <w:r w:rsidR="00392264">
        <w:t>sū</w:t>
      </w:r>
      <w:r w:rsidR="00B765CC">
        <w:t>pynėj</w:t>
      </w:r>
      <w:proofErr w:type="spellEnd"/>
      <w:r w:rsidR="00B765CC">
        <w:t>“ ir „Laiko akys“.</w:t>
      </w:r>
    </w:p>
    <w:p w:rsidR="0073460E" w:rsidRDefault="0073460E" w:rsidP="0099535A">
      <w:pPr>
        <w:pStyle w:val="prastasistinklapis"/>
        <w:spacing w:before="0" w:beforeAutospacing="0" w:after="0" w:afterAutospacing="0"/>
        <w:ind w:firstLine="851"/>
        <w:jc w:val="both"/>
      </w:pPr>
    </w:p>
    <w:p w:rsidR="0073460E" w:rsidRDefault="0073460E" w:rsidP="0099535A">
      <w:pPr>
        <w:pStyle w:val="prastasistinklapis"/>
        <w:spacing w:before="0" w:beforeAutospacing="0" w:after="0" w:afterAutospacing="0"/>
        <w:ind w:firstLine="851"/>
        <w:jc w:val="both"/>
      </w:pPr>
      <w:r>
        <w:t xml:space="preserve">Mažeikių viešojoje bibliotekoje skaitymo </w:t>
      </w:r>
      <w:r w:rsidR="008B63CC">
        <w:t xml:space="preserve">iššūkyje užsiregistravo 47 dalyviai, įveikė </w:t>
      </w:r>
      <w:r w:rsidR="00392264">
        <w:t xml:space="preserve">užduotis </w:t>
      </w:r>
      <w:r w:rsidR="008B63CC">
        <w:t>30</w:t>
      </w:r>
      <w:r w:rsidR="007A2D5D">
        <w:t xml:space="preserve"> skaitytojų</w:t>
      </w:r>
      <w:r w:rsidR="008B63CC">
        <w:t>.</w:t>
      </w:r>
      <w:r w:rsidR="007A2D5D">
        <w:t xml:space="preserve"> Aktyviausi buvo </w:t>
      </w:r>
      <w:r w:rsidR="00563162">
        <w:t xml:space="preserve">9 skaitytojai </w:t>
      </w:r>
      <w:r w:rsidR="007A2D5D">
        <w:t>nuo 8 iki 14 m</w:t>
      </w:r>
      <w:r w:rsidR="00563162">
        <w:t>etų.</w:t>
      </w:r>
    </w:p>
    <w:p w:rsidR="008B63CC" w:rsidRDefault="008B63CC" w:rsidP="008612AB">
      <w:pPr>
        <w:pStyle w:val="prastasistinklapis"/>
        <w:spacing w:before="0" w:beforeAutospacing="0" w:after="0" w:afterAutospacing="0"/>
        <w:ind w:firstLine="851"/>
        <w:jc w:val="both"/>
      </w:pPr>
    </w:p>
    <w:p w:rsidR="008B63CC" w:rsidRDefault="00226526" w:rsidP="00226526">
      <w:pPr>
        <w:pStyle w:val="prastasistinklapis"/>
        <w:spacing w:before="0" w:beforeAutospacing="0" w:after="0" w:afterAutospacing="0"/>
        <w:ind w:firstLine="851"/>
        <w:jc w:val="center"/>
      </w:pPr>
      <w:r>
        <w:rPr>
          <w:noProof/>
        </w:rPr>
        <w:drawing>
          <wp:inline distT="0" distB="0" distL="0" distR="0">
            <wp:extent cx="4686300" cy="2647950"/>
            <wp:effectExtent l="0" t="0" r="19050" b="19050"/>
            <wp:docPr id="8" name="Diagrama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B79F9" w:rsidRDefault="008B79F9" w:rsidP="000D116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056C" w:rsidRDefault="00A9056C" w:rsidP="00A9056C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9056C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:rsidR="0068278D" w:rsidRDefault="0068278D" w:rsidP="00375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278D" w:rsidRDefault="00563162" w:rsidP="00B32F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58710E54" wp14:editId="043F9A97">
            <wp:extent cx="8067675" cy="4610100"/>
            <wp:effectExtent l="0" t="0" r="9525" b="19050"/>
            <wp:docPr id="7" name="Diagrama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8278D" w:rsidRDefault="0068278D" w:rsidP="005823A2">
      <w:pPr>
        <w:pStyle w:val="prastasistinklapis"/>
        <w:spacing w:before="0" w:beforeAutospacing="0" w:after="0" w:afterAutospacing="0"/>
        <w:ind w:firstLine="851"/>
        <w:jc w:val="both"/>
      </w:pPr>
      <w:r>
        <w:t>M</w:t>
      </w:r>
      <w:r w:rsidR="009E163A">
        <w:t>ažeikių vi</w:t>
      </w:r>
      <w:r w:rsidR="00446609">
        <w:t>ešosios bibliotekos filialuose s</w:t>
      </w:r>
      <w:r>
        <w:t xml:space="preserve">kaitymo iššūkyje užsiregistravo </w:t>
      </w:r>
      <w:r w:rsidR="005823A2">
        <w:t>174</w:t>
      </w:r>
      <w:r>
        <w:t xml:space="preserve"> dalyviai, įveikė </w:t>
      </w:r>
      <w:r w:rsidR="005823A2">
        <w:t>125 skaitytojai</w:t>
      </w:r>
      <w:r>
        <w:t xml:space="preserve">. Aktyviausi </w:t>
      </w:r>
      <w:r w:rsidR="00F8253E">
        <w:t xml:space="preserve">buvo </w:t>
      </w:r>
      <w:r w:rsidR="005823A2">
        <w:t xml:space="preserve">ir iššūkio užduotis įveikė Užlieknės (15), Purvėnų (11) ir Reivyčių (11) filialų skaitytojai. </w:t>
      </w:r>
      <w:r w:rsidR="00C171AB">
        <w:t>Labai gaila, kad s</w:t>
      </w:r>
      <w:r w:rsidR="005823A2">
        <w:t>kaitymo iššūkio akcija Krakių filial</w:t>
      </w:r>
      <w:r w:rsidR="007E2499">
        <w:t xml:space="preserve">e nesulaukė jokio skaitytojų </w:t>
      </w:r>
      <w:r w:rsidR="00446609">
        <w:t>susidomėjimo.</w:t>
      </w:r>
      <w:r w:rsidR="007E2499">
        <w:t xml:space="preserve">  </w:t>
      </w:r>
    </w:p>
    <w:p w:rsidR="0068278D" w:rsidRDefault="0068278D" w:rsidP="0068278D">
      <w:pPr>
        <w:rPr>
          <w:rFonts w:ascii="Times New Roman" w:hAnsi="Times New Roman" w:cs="Times New Roman"/>
          <w:sz w:val="24"/>
          <w:szCs w:val="24"/>
        </w:rPr>
      </w:pPr>
    </w:p>
    <w:p w:rsidR="008262EB" w:rsidRDefault="008262EB" w:rsidP="0068278D">
      <w:pPr>
        <w:rPr>
          <w:rFonts w:ascii="Times New Roman" w:hAnsi="Times New Roman" w:cs="Times New Roman"/>
          <w:sz w:val="24"/>
          <w:szCs w:val="24"/>
        </w:rPr>
        <w:sectPr w:rsidR="008262EB" w:rsidSect="00B32F8F">
          <w:pgSz w:w="16838" w:h="11906" w:orient="landscape"/>
          <w:pgMar w:top="1134" w:right="567" w:bottom="1134" w:left="1701" w:header="567" w:footer="567" w:gutter="0"/>
          <w:cols w:space="1296"/>
          <w:docGrid w:linePitch="360"/>
        </w:sectPr>
      </w:pPr>
    </w:p>
    <w:p w:rsidR="008262EB" w:rsidRDefault="00593CF3" w:rsidP="00593CF3">
      <w:pPr>
        <w:jc w:val="center"/>
        <w:rPr>
          <w:rFonts w:ascii="Times New Roman" w:hAnsi="Times New Roman" w:cs="Times New Roman"/>
          <w:sz w:val="24"/>
          <w:szCs w:val="24"/>
        </w:rPr>
      </w:pPr>
      <w:r w:rsidRPr="00593CF3">
        <w:rPr>
          <w:rFonts w:ascii="Times New Roman" w:hAnsi="Times New Roman" w:cs="Times New Roman"/>
          <w:noProof/>
          <w:sz w:val="28"/>
          <w:szCs w:val="24"/>
          <w:lang w:eastAsia="lt-LT"/>
        </w:rPr>
        <w:drawing>
          <wp:inline distT="0" distB="0" distL="0" distR="0" wp14:anchorId="3B8ABBFE" wp14:editId="545AC0D6">
            <wp:extent cx="5972175" cy="3200400"/>
            <wp:effectExtent l="0" t="0" r="9525" b="19050"/>
            <wp:docPr id="9" name="Diagrama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5089C" w:rsidRPr="007B0518" w:rsidRDefault="008262EB" w:rsidP="007E3B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268D3" w:rsidRPr="000268D3">
        <w:rPr>
          <w:rFonts w:ascii="Times New Roman" w:hAnsi="Times New Roman" w:cs="Times New Roman"/>
          <w:sz w:val="24"/>
          <w:szCs w:val="24"/>
        </w:rPr>
        <w:t xml:space="preserve">ėkmingai įveikusieji skaitymo iššūkį dalyvavo loterijoje, kurioje </w:t>
      </w:r>
      <w:r w:rsidR="00F8253E">
        <w:rPr>
          <w:rFonts w:ascii="Times New Roman" w:hAnsi="Times New Roman" w:cs="Times New Roman"/>
          <w:sz w:val="24"/>
          <w:szCs w:val="24"/>
        </w:rPr>
        <w:t>buvo galima laimėti</w:t>
      </w:r>
      <w:r w:rsidR="000268D3" w:rsidRPr="000268D3">
        <w:rPr>
          <w:rFonts w:ascii="Times New Roman" w:hAnsi="Times New Roman" w:cs="Times New Roman"/>
          <w:sz w:val="24"/>
          <w:szCs w:val="24"/>
        </w:rPr>
        <w:t xml:space="preserve"> 3 pagrindinius prizus: </w:t>
      </w:r>
      <w:proofErr w:type="spellStart"/>
      <w:r w:rsidR="000268D3" w:rsidRPr="000268D3">
        <w:rPr>
          <w:rFonts w:ascii="Times New Roman" w:hAnsi="Times New Roman" w:cs="Times New Roman"/>
          <w:sz w:val="24"/>
          <w:szCs w:val="24"/>
        </w:rPr>
        <w:t>planšetinį</w:t>
      </w:r>
      <w:proofErr w:type="spellEnd"/>
      <w:r w:rsidR="000268D3" w:rsidRPr="000268D3">
        <w:rPr>
          <w:rFonts w:ascii="Times New Roman" w:hAnsi="Times New Roman" w:cs="Times New Roman"/>
          <w:sz w:val="24"/>
          <w:szCs w:val="24"/>
        </w:rPr>
        <w:t xml:space="preserve"> kompiuterį, </w:t>
      </w:r>
      <w:proofErr w:type="spellStart"/>
      <w:r w:rsidR="000268D3" w:rsidRPr="000268D3">
        <w:rPr>
          <w:rFonts w:ascii="Times New Roman" w:hAnsi="Times New Roman" w:cs="Times New Roman"/>
          <w:sz w:val="24"/>
          <w:szCs w:val="24"/>
        </w:rPr>
        <w:t>sėdmaišį</w:t>
      </w:r>
      <w:proofErr w:type="spellEnd"/>
      <w:r w:rsidR="000268D3" w:rsidRPr="000268D3">
        <w:rPr>
          <w:rFonts w:ascii="Times New Roman" w:hAnsi="Times New Roman" w:cs="Times New Roman"/>
          <w:sz w:val="24"/>
          <w:szCs w:val="24"/>
        </w:rPr>
        <w:t xml:space="preserve"> ir momentinį fotoaparatą. Taip pat išdalinta daugiau kaip pusšimtis knygų, kurias aktyviausiems skaitytojams dovanojo Šiaurės ministrų tarybos biuras Lietuvoje bei leidykla „Baltos lankos“. Visas laimėtojų sąrašas skelbiamas </w:t>
      </w:r>
      <w:hyperlink r:id="rId18" w:history="1">
        <w:r w:rsidR="000268D3" w:rsidRPr="000268D3">
          <w:rPr>
            <w:rStyle w:val="Hipersaitas"/>
            <w:rFonts w:ascii="Times New Roman" w:hAnsi="Times New Roman" w:cs="Times New Roman"/>
            <w:sz w:val="24"/>
            <w:szCs w:val="24"/>
          </w:rPr>
          <w:t>https://vasarasuknyga.lt/</w:t>
        </w:r>
      </w:hyperlink>
      <w:hyperlink r:id="rId19" w:tgtFrame="_blank" w:history="1">
        <w:r w:rsidR="000268D3" w:rsidRPr="000268D3">
          <w:rPr>
            <w:rStyle w:val="Hipersaitas"/>
            <w:rFonts w:ascii="Times New Roman" w:hAnsi="Times New Roman" w:cs="Times New Roman"/>
            <w:sz w:val="24"/>
            <w:szCs w:val="24"/>
          </w:rPr>
          <w:t>.</w:t>
        </w:r>
      </w:hyperlink>
      <w:r w:rsidR="000268D3" w:rsidRPr="000268D3">
        <w:rPr>
          <w:rFonts w:ascii="Times New Roman" w:hAnsi="Times New Roman" w:cs="Times New Roman"/>
          <w:sz w:val="24"/>
          <w:szCs w:val="24"/>
        </w:rPr>
        <w:t xml:space="preserve"> </w:t>
      </w:r>
      <w:r w:rsidR="0025089C" w:rsidRPr="00657A2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Nuoširdžiai sveikiname papildomo prizo</w:t>
      </w:r>
      <w:r w:rsidR="0025089C" w:rsidRPr="00657A2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- </w:t>
      </w:r>
      <w:r w:rsidR="0025089C" w:rsidRPr="00657A2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„Baltų lankų“ knygų laimėtoją</w:t>
      </w:r>
      <w:r w:rsidR="002508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5089C">
        <w:rPr>
          <w:rFonts w:ascii="Times New Roman" w:hAnsi="Times New Roman" w:cs="Times New Roman"/>
          <w:sz w:val="24"/>
          <w:szCs w:val="24"/>
        </w:rPr>
        <w:t xml:space="preserve">Gretą </w:t>
      </w:r>
      <w:proofErr w:type="spellStart"/>
      <w:r w:rsidR="0025089C">
        <w:rPr>
          <w:rFonts w:ascii="Times New Roman" w:hAnsi="Times New Roman" w:cs="Times New Roman"/>
          <w:sz w:val="24"/>
          <w:szCs w:val="24"/>
        </w:rPr>
        <w:t>Gustytę</w:t>
      </w:r>
      <w:proofErr w:type="spellEnd"/>
      <w:r w:rsidR="0025089C" w:rsidRPr="007B0518">
        <w:rPr>
          <w:rFonts w:ascii="Times New Roman" w:hAnsi="Times New Roman" w:cs="Times New Roman"/>
          <w:sz w:val="24"/>
          <w:szCs w:val="24"/>
        </w:rPr>
        <w:t xml:space="preserve"> (Mažeik</w:t>
      </w:r>
      <w:r w:rsidR="0025089C">
        <w:rPr>
          <w:rFonts w:ascii="Times New Roman" w:hAnsi="Times New Roman" w:cs="Times New Roman"/>
          <w:sz w:val="24"/>
          <w:szCs w:val="24"/>
        </w:rPr>
        <w:t>ių rajono savivaldybės viešoji biblioteka).</w:t>
      </w:r>
    </w:p>
    <w:p w:rsidR="00DE74F8" w:rsidRDefault="000268D3" w:rsidP="007E3BD6">
      <w:pPr>
        <w:tabs>
          <w:tab w:val="left" w:pos="20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68D3">
        <w:rPr>
          <w:rFonts w:ascii="Times New Roman" w:hAnsi="Times New Roman" w:cs="Times New Roman"/>
          <w:sz w:val="24"/>
          <w:szCs w:val="24"/>
        </w:rPr>
        <w:t xml:space="preserve">Kiekvienas skaitymo iššūkį įveikęs dalyvis dovanų gaus knygų skirtuką su vaistažolėmis, kuris, pasodintas į žemę, po kiek laiko džiugins vaistinių melisų, </w:t>
      </w:r>
      <w:r w:rsidR="00DE74F8">
        <w:rPr>
          <w:rFonts w:ascii="Times New Roman" w:hAnsi="Times New Roman" w:cs="Times New Roman"/>
          <w:sz w:val="24"/>
          <w:szCs w:val="24"/>
        </w:rPr>
        <w:t>čiobrelių ir ramunėlių derliumi.</w:t>
      </w:r>
      <w:r w:rsidR="00EB1196">
        <w:rPr>
          <w:rFonts w:ascii="Times New Roman" w:hAnsi="Times New Roman" w:cs="Times New Roman"/>
          <w:sz w:val="24"/>
          <w:szCs w:val="24"/>
        </w:rPr>
        <w:t xml:space="preserve"> Atsiimti skirtukus kviečiame į biblioteką arba į filialą, kur teikėte registracijos duomenis</w:t>
      </w:r>
      <w:r w:rsidR="00CF45C9">
        <w:rPr>
          <w:rFonts w:ascii="Times New Roman" w:hAnsi="Times New Roman" w:cs="Times New Roman"/>
          <w:sz w:val="24"/>
          <w:szCs w:val="24"/>
        </w:rPr>
        <w:t>.</w:t>
      </w:r>
    </w:p>
    <w:p w:rsidR="000A4A75" w:rsidRDefault="000A4A75" w:rsidP="007E3B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A75">
        <w:rPr>
          <w:rFonts w:ascii="Times New Roman" w:hAnsi="Times New Roman" w:cs="Times New Roman"/>
          <w:sz w:val="24"/>
          <w:szCs w:val="24"/>
        </w:rPr>
        <w:t>Ačiū visiems</w:t>
      </w:r>
      <w:r w:rsidR="00F8253E">
        <w:rPr>
          <w:rFonts w:ascii="Times New Roman" w:hAnsi="Times New Roman" w:cs="Times New Roman"/>
          <w:sz w:val="24"/>
          <w:szCs w:val="24"/>
        </w:rPr>
        <w:t>,</w:t>
      </w:r>
      <w:r w:rsidRPr="000A4A75">
        <w:rPr>
          <w:rFonts w:ascii="Times New Roman" w:hAnsi="Times New Roman" w:cs="Times New Roman"/>
          <w:sz w:val="24"/>
          <w:szCs w:val="24"/>
        </w:rPr>
        <w:t xml:space="preserve"> prisidėjusiems ir palaikiusiems vasaros Skaitymo iššūkį!</w:t>
      </w:r>
    </w:p>
    <w:p w:rsidR="008A47B8" w:rsidRDefault="008A47B8" w:rsidP="000A4A75">
      <w:pPr>
        <w:spacing w:after="0" w:line="240" w:lineRule="auto"/>
        <w:ind w:firstLine="851"/>
        <w:jc w:val="both"/>
      </w:pPr>
    </w:p>
    <w:p w:rsidR="008A47B8" w:rsidRDefault="008A47B8" w:rsidP="000A4A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3162" w:rsidRDefault="00563162" w:rsidP="000A4A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3162" w:rsidRDefault="00563162" w:rsidP="007B0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Indrė Drungilienė,</w:t>
      </w:r>
    </w:p>
    <w:p w:rsidR="00563162" w:rsidRDefault="00563162" w:rsidP="007B0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Mažeikių rajono savivaldybės viešosios bibliotekos </w:t>
      </w:r>
    </w:p>
    <w:p w:rsidR="00563162" w:rsidRDefault="00563162" w:rsidP="007B0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pavaduotoja</w:t>
      </w:r>
    </w:p>
    <w:p w:rsidR="004E71CD" w:rsidRDefault="004E71CD" w:rsidP="00A90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60E" w:rsidRPr="00490362" w:rsidRDefault="0073460E" w:rsidP="000D116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73460E" w:rsidRPr="00490362" w:rsidSect="00097AA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84F" w:rsidRDefault="0003584F" w:rsidP="008262EB">
      <w:pPr>
        <w:spacing w:after="0" w:line="240" w:lineRule="auto"/>
      </w:pPr>
      <w:r>
        <w:separator/>
      </w:r>
    </w:p>
  </w:endnote>
  <w:endnote w:type="continuationSeparator" w:id="0">
    <w:p w:rsidR="0003584F" w:rsidRDefault="0003584F" w:rsidP="00826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84F" w:rsidRDefault="0003584F" w:rsidP="008262EB">
      <w:pPr>
        <w:spacing w:after="0" w:line="240" w:lineRule="auto"/>
      </w:pPr>
      <w:r>
        <w:separator/>
      </w:r>
    </w:p>
  </w:footnote>
  <w:footnote w:type="continuationSeparator" w:id="0">
    <w:p w:rsidR="0003584F" w:rsidRDefault="0003584F" w:rsidP="00826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34"/>
    <w:rsid w:val="00016007"/>
    <w:rsid w:val="000268D3"/>
    <w:rsid w:val="0003584F"/>
    <w:rsid w:val="00097AAC"/>
    <w:rsid w:val="000A4A75"/>
    <w:rsid w:val="000D1165"/>
    <w:rsid w:val="000F72CC"/>
    <w:rsid w:val="001D3E9F"/>
    <w:rsid w:val="001E6291"/>
    <w:rsid w:val="00226526"/>
    <w:rsid w:val="00227F51"/>
    <w:rsid w:val="0025089C"/>
    <w:rsid w:val="00266581"/>
    <w:rsid w:val="00313EE6"/>
    <w:rsid w:val="00323805"/>
    <w:rsid w:val="00352B3F"/>
    <w:rsid w:val="00370CF7"/>
    <w:rsid w:val="00371014"/>
    <w:rsid w:val="0037519F"/>
    <w:rsid w:val="00392264"/>
    <w:rsid w:val="003B40C2"/>
    <w:rsid w:val="00446609"/>
    <w:rsid w:val="00490362"/>
    <w:rsid w:val="004E71CD"/>
    <w:rsid w:val="00535D34"/>
    <w:rsid w:val="00543742"/>
    <w:rsid w:val="00563162"/>
    <w:rsid w:val="005823A2"/>
    <w:rsid w:val="00593CF3"/>
    <w:rsid w:val="005B1663"/>
    <w:rsid w:val="00657A28"/>
    <w:rsid w:val="0068278D"/>
    <w:rsid w:val="006C48F0"/>
    <w:rsid w:val="006E5FD7"/>
    <w:rsid w:val="007129E7"/>
    <w:rsid w:val="0073460E"/>
    <w:rsid w:val="007628F6"/>
    <w:rsid w:val="007835F7"/>
    <w:rsid w:val="007902F4"/>
    <w:rsid w:val="007919B8"/>
    <w:rsid w:val="007A2D5D"/>
    <w:rsid w:val="007B0518"/>
    <w:rsid w:val="007E2499"/>
    <w:rsid w:val="007E3BD6"/>
    <w:rsid w:val="007E4568"/>
    <w:rsid w:val="00807D26"/>
    <w:rsid w:val="008262EB"/>
    <w:rsid w:val="008612AB"/>
    <w:rsid w:val="008A47B8"/>
    <w:rsid w:val="008B63CC"/>
    <w:rsid w:val="008B79F9"/>
    <w:rsid w:val="0096146D"/>
    <w:rsid w:val="00971F36"/>
    <w:rsid w:val="0099535A"/>
    <w:rsid w:val="009E163A"/>
    <w:rsid w:val="00A011B6"/>
    <w:rsid w:val="00A03ED3"/>
    <w:rsid w:val="00A3129F"/>
    <w:rsid w:val="00A417D0"/>
    <w:rsid w:val="00A4551E"/>
    <w:rsid w:val="00A9056C"/>
    <w:rsid w:val="00A95F7E"/>
    <w:rsid w:val="00AD52A5"/>
    <w:rsid w:val="00B32F8F"/>
    <w:rsid w:val="00B65A6E"/>
    <w:rsid w:val="00B765CC"/>
    <w:rsid w:val="00C07E3E"/>
    <w:rsid w:val="00C171AB"/>
    <w:rsid w:val="00C94E01"/>
    <w:rsid w:val="00CE40F2"/>
    <w:rsid w:val="00CF45C9"/>
    <w:rsid w:val="00D06445"/>
    <w:rsid w:val="00D13258"/>
    <w:rsid w:val="00D53628"/>
    <w:rsid w:val="00D74E17"/>
    <w:rsid w:val="00D91689"/>
    <w:rsid w:val="00DE74F8"/>
    <w:rsid w:val="00E40260"/>
    <w:rsid w:val="00EB1196"/>
    <w:rsid w:val="00F16655"/>
    <w:rsid w:val="00F8253E"/>
    <w:rsid w:val="00FF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535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535D34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prastasistinklapis">
    <w:name w:val="Normal (Web)"/>
    <w:basedOn w:val="prastasis"/>
    <w:uiPriority w:val="99"/>
    <w:unhideWhenUsed/>
    <w:rsid w:val="0053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490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0362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0268D3"/>
    <w:rPr>
      <w:color w:val="0000FF"/>
      <w:u w:val="single"/>
    </w:rPr>
  </w:style>
  <w:style w:type="table" w:styleId="1vidutinissraas5parykinimas">
    <w:name w:val="Medium List 1 Accent 5"/>
    <w:basedOn w:val="prastojilentel"/>
    <w:uiPriority w:val="65"/>
    <w:rsid w:val="00FF01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Antrats">
    <w:name w:val="header"/>
    <w:basedOn w:val="prastasis"/>
    <w:link w:val="AntratsDiagrama"/>
    <w:uiPriority w:val="99"/>
    <w:unhideWhenUsed/>
    <w:rsid w:val="008262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262EB"/>
  </w:style>
  <w:style w:type="paragraph" w:styleId="Porat">
    <w:name w:val="footer"/>
    <w:basedOn w:val="prastasis"/>
    <w:link w:val="PoratDiagrama"/>
    <w:uiPriority w:val="99"/>
    <w:unhideWhenUsed/>
    <w:rsid w:val="008262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262EB"/>
  </w:style>
  <w:style w:type="character" w:styleId="Grietas">
    <w:name w:val="Strong"/>
    <w:basedOn w:val="Numatytasispastraiposriftas"/>
    <w:uiPriority w:val="22"/>
    <w:qFormat/>
    <w:rsid w:val="007B05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535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535D34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prastasistinklapis">
    <w:name w:val="Normal (Web)"/>
    <w:basedOn w:val="prastasis"/>
    <w:uiPriority w:val="99"/>
    <w:unhideWhenUsed/>
    <w:rsid w:val="0053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490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0362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0268D3"/>
    <w:rPr>
      <w:color w:val="0000FF"/>
      <w:u w:val="single"/>
    </w:rPr>
  </w:style>
  <w:style w:type="table" w:styleId="1vidutinissraas5parykinimas">
    <w:name w:val="Medium List 1 Accent 5"/>
    <w:basedOn w:val="prastojilentel"/>
    <w:uiPriority w:val="65"/>
    <w:rsid w:val="00FF01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Antrats">
    <w:name w:val="header"/>
    <w:basedOn w:val="prastasis"/>
    <w:link w:val="AntratsDiagrama"/>
    <w:uiPriority w:val="99"/>
    <w:unhideWhenUsed/>
    <w:rsid w:val="008262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262EB"/>
  </w:style>
  <w:style w:type="paragraph" w:styleId="Porat">
    <w:name w:val="footer"/>
    <w:basedOn w:val="prastasis"/>
    <w:link w:val="PoratDiagrama"/>
    <w:uiPriority w:val="99"/>
    <w:unhideWhenUsed/>
    <w:rsid w:val="008262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262EB"/>
  </w:style>
  <w:style w:type="character" w:styleId="Grietas">
    <w:name w:val="Strong"/>
    <w:basedOn w:val="Numatytasispastraiposriftas"/>
    <w:uiPriority w:val="22"/>
    <w:qFormat/>
    <w:rsid w:val="007B05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vasarasuknyga.lt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openxmlformats.org/officeDocument/2006/relationships/chart" Target="charts/chart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image" Target="media/image3.jpeg"/><Relationship Id="rId19" Type="http://schemas.openxmlformats.org/officeDocument/2006/relationships/hyperlink" Target="https://www.vasarasuknuga.lt.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i="1"/>
          </a:pPr>
          <a:endParaRPr lang="lt-LT"/>
        </a:p>
      </c:txPr>
    </c:title>
    <c:autoTitleDeleted val="0"/>
    <c:plotArea>
      <c:layout>
        <c:manualLayout>
          <c:layoutTarget val="inner"/>
          <c:xMode val="edge"/>
          <c:yMode val="edge"/>
          <c:x val="7.787966608340624E-2"/>
          <c:y val="0.22138513935758031"/>
          <c:w val="0.71068824730242053"/>
          <c:h val="0.70792432195975508"/>
        </c:manualLayout>
      </c:layout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Dalyviai pagal amžių</c:v>
                </c:pt>
              </c:strCache>
            </c:strRef>
          </c:tx>
          <c:explosion val="25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Lapas1!$A$2:$A$8</c:f>
              <c:strCache>
                <c:ptCount val="7"/>
                <c:pt idx="0">
                  <c:v>0 iki 7 m.</c:v>
                </c:pt>
                <c:pt idx="1">
                  <c:v>8 iki 14 m.</c:v>
                </c:pt>
                <c:pt idx="2">
                  <c:v>15 iki 19 m.</c:v>
                </c:pt>
                <c:pt idx="3">
                  <c:v>20 iki 30 m.</c:v>
                </c:pt>
                <c:pt idx="4">
                  <c:v>31 iki 45 m.</c:v>
                </c:pt>
                <c:pt idx="5">
                  <c:v>46 iki 64 m.</c:v>
                </c:pt>
                <c:pt idx="6">
                  <c:v>65 iki 99 m.</c:v>
                </c:pt>
              </c:strCache>
            </c:strRef>
          </c:cat>
          <c:val>
            <c:numRef>
              <c:f>Lapas1!$B$2:$B$8</c:f>
              <c:numCache>
                <c:formatCode>General</c:formatCode>
                <c:ptCount val="7"/>
                <c:pt idx="0">
                  <c:v>12</c:v>
                </c:pt>
                <c:pt idx="1">
                  <c:v>59</c:v>
                </c:pt>
                <c:pt idx="2">
                  <c:v>13</c:v>
                </c:pt>
                <c:pt idx="3">
                  <c:v>8</c:v>
                </c:pt>
                <c:pt idx="4">
                  <c:v>20</c:v>
                </c:pt>
                <c:pt idx="5">
                  <c:v>26</c:v>
                </c:pt>
                <c:pt idx="6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5765128317293673"/>
          <c:y val="0.1991957255343082"/>
          <c:w val="0.2284598279381744"/>
          <c:h val="0.71262060992375953"/>
        </c:manualLayout>
      </c:layout>
      <c:overlay val="0"/>
    </c:legend>
    <c:plotVisOnly val="1"/>
    <c:dispBlanksAs val="gap"/>
    <c:showDLblsOverMax val="0"/>
  </c:chart>
  <c:spPr>
    <a:ln w="25400">
      <a:gradFill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600"/>
            </a:pPr>
            <a:r>
              <a:rPr lang="en-US" sz="1600"/>
              <a:t>Skaitymo iššūkio dalyviai</a:t>
            </a:r>
            <a:r>
              <a:rPr lang="lt-LT" sz="1600"/>
              <a:t> viešojoje bibliotekoje</a:t>
            </a:r>
            <a:r>
              <a:rPr lang="en-US" sz="1600"/>
              <a:t> </a:t>
            </a:r>
          </a:p>
        </c:rich>
      </c:tx>
      <c:layout>
        <c:manualLayout>
          <c:xMode val="edge"/>
          <c:yMode val="edge"/>
          <c:x val="0.1752370953630796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Viešosios bibliotekosSkaitymo iššūkio dalyviai 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Lapas1!$A$2:$A$7</c:f>
              <c:strCache>
                <c:ptCount val="6"/>
                <c:pt idx="0">
                  <c:v>0 iki 7 m.</c:v>
                </c:pt>
                <c:pt idx="1">
                  <c:v>8 iki 14 m.</c:v>
                </c:pt>
                <c:pt idx="2">
                  <c:v>15 iki 19 m.</c:v>
                </c:pt>
                <c:pt idx="3">
                  <c:v>20 iki 30 m.</c:v>
                </c:pt>
                <c:pt idx="4">
                  <c:v>31 iki 45 m.</c:v>
                </c:pt>
                <c:pt idx="5">
                  <c:v>46 iki 64 m.</c:v>
                </c:pt>
              </c:strCache>
            </c:strRef>
          </c:cat>
          <c:val>
            <c:numRef>
              <c:f>Lapas1!$B$2:$B$7</c:f>
              <c:numCache>
                <c:formatCode>General</c:formatCode>
                <c:ptCount val="6"/>
                <c:pt idx="0">
                  <c:v>7</c:v>
                </c:pt>
                <c:pt idx="1">
                  <c:v>9</c:v>
                </c:pt>
                <c:pt idx="2">
                  <c:v>2</c:v>
                </c:pt>
                <c:pt idx="3">
                  <c:v>3</c:v>
                </c:pt>
                <c:pt idx="4">
                  <c:v>6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2982480848430531"/>
          <c:y val="0.23995808077947092"/>
          <c:w val="0.25391502891406864"/>
          <c:h val="0.67384882645065047"/>
        </c:manualLayout>
      </c:layout>
      <c:overlay val="0"/>
    </c:legend>
    <c:plotVisOnly val="1"/>
    <c:dispBlanksAs val="gap"/>
    <c:showDLblsOverMax val="0"/>
  </c:chart>
  <c:spPr>
    <a:ln w="22225">
      <a:gradFill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lt-LT" baseline="0"/>
              <a:t>Skaitymo iššūkio dalyvių skaičius filialuose</a:t>
            </a:r>
            <a:endParaRPr lang="lt-LT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2023011586361625E-2"/>
          <c:y val="0.20108965831325878"/>
          <c:w val="0.94485970245454853"/>
          <c:h val="0.593564879732499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Užsiregistravo</c:v>
                </c:pt>
              </c:strCache>
            </c:strRef>
          </c:tx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  <c:invertIfNegative val="0"/>
          <c:cat>
            <c:strRef>
              <c:f>Lapas1!$A$2:$A$25</c:f>
              <c:strCache>
                <c:ptCount val="24"/>
                <c:pt idx="0">
                  <c:v>Auksodės f.</c:v>
                </c:pt>
                <c:pt idx="1">
                  <c:v>Balėnų f.</c:v>
                </c:pt>
                <c:pt idx="2">
                  <c:v>Bugenių f.</c:v>
                </c:pt>
                <c:pt idx="3">
                  <c:v>Buknaičių f.</c:v>
                </c:pt>
                <c:pt idx="4">
                  <c:v>Kapėnų f.</c:v>
                </c:pt>
                <c:pt idx="5">
                  <c:v>Krakių f.</c:v>
                </c:pt>
                <c:pt idx="6">
                  <c:v>Laižuvos</c:v>
                </c:pt>
                <c:pt idx="7">
                  <c:v>Leckavos f.</c:v>
                </c:pt>
                <c:pt idx="8">
                  <c:v>Palnosų f.</c:v>
                </c:pt>
                <c:pt idx="9">
                  <c:v>Pikelių f.</c:v>
                </c:pt>
                <c:pt idx="10">
                  <c:v>Plinkšių f.</c:v>
                </c:pt>
                <c:pt idx="11">
                  <c:v>Purvėnų f.</c:v>
                </c:pt>
                <c:pt idx="12">
                  <c:v>Renavo f.</c:v>
                </c:pt>
                <c:pt idx="13">
                  <c:v>Šerkšnėnų f.</c:v>
                </c:pt>
                <c:pt idx="14">
                  <c:v>Tirkšlių f.</c:v>
                </c:pt>
                <c:pt idx="15">
                  <c:v>Ukrinų f.</c:v>
                </c:pt>
                <c:pt idx="16">
                  <c:v>Urvikių f.</c:v>
                </c:pt>
                <c:pt idx="17">
                  <c:v>Užlieknės f.</c:v>
                </c:pt>
                <c:pt idx="18">
                  <c:v>Žemalės f.</c:v>
                </c:pt>
                <c:pt idx="19">
                  <c:v>Židikų f.</c:v>
                </c:pt>
                <c:pt idx="20">
                  <c:v>Naftininkų f.</c:v>
                </c:pt>
                <c:pt idx="21">
                  <c:v>Reivyčių f.</c:v>
                </c:pt>
                <c:pt idx="22">
                  <c:v>Sedos miesto f.</c:v>
                </c:pt>
                <c:pt idx="23">
                  <c:v>Viekšnių miesto f.</c:v>
                </c:pt>
              </c:strCache>
            </c:strRef>
          </c:cat>
          <c:val>
            <c:numRef>
              <c:f>Lapas1!$B$2:$B$25</c:f>
              <c:numCache>
                <c:formatCode>General</c:formatCode>
                <c:ptCount val="24"/>
                <c:pt idx="0">
                  <c:v>10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0</c:v>
                </c:pt>
                <c:pt idx="6">
                  <c:v>7</c:v>
                </c:pt>
                <c:pt idx="7">
                  <c:v>9</c:v>
                </c:pt>
                <c:pt idx="8">
                  <c:v>5</c:v>
                </c:pt>
                <c:pt idx="9">
                  <c:v>9</c:v>
                </c:pt>
                <c:pt idx="10">
                  <c:v>6</c:v>
                </c:pt>
                <c:pt idx="11">
                  <c:v>11</c:v>
                </c:pt>
                <c:pt idx="12">
                  <c:v>0</c:v>
                </c:pt>
                <c:pt idx="13">
                  <c:v>3</c:v>
                </c:pt>
                <c:pt idx="14">
                  <c:v>4</c:v>
                </c:pt>
                <c:pt idx="15">
                  <c:v>6</c:v>
                </c:pt>
                <c:pt idx="16">
                  <c:v>6</c:v>
                </c:pt>
                <c:pt idx="17">
                  <c:v>15</c:v>
                </c:pt>
                <c:pt idx="18">
                  <c:v>4</c:v>
                </c:pt>
                <c:pt idx="19">
                  <c:v>13</c:v>
                </c:pt>
                <c:pt idx="20">
                  <c:v>11</c:v>
                </c:pt>
                <c:pt idx="21">
                  <c:v>11</c:v>
                </c:pt>
                <c:pt idx="22">
                  <c:v>13</c:v>
                </c:pt>
                <c:pt idx="23">
                  <c:v>13</c:v>
                </c:pt>
              </c:numCache>
            </c:numRef>
          </c:val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Iššūkį įveikė</c:v>
                </c:pt>
              </c:strCache>
            </c:strRef>
          </c:tx>
          <c:invertIfNegative val="0"/>
          <c:dPt>
            <c:idx val="11"/>
            <c:invertIfNegative val="0"/>
            <c:bubble3D val="0"/>
            <c:spPr>
              <a:ln>
                <a:gradFill>
                  <a:gsLst>
                    <a:gs pos="0">
                      <a:schemeClr val="accent1">
                        <a:tint val="66000"/>
                        <a:satMod val="160000"/>
                      </a:schemeClr>
                    </a:gs>
                    <a:gs pos="50000">
                      <a:schemeClr val="accent1">
                        <a:tint val="44500"/>
                        <a:satMod val="160000"/>
                      </a:schemeClr>
                    </a:gs>
                    <a:gs pos="100000">
                      <a:schemeClr val="accent1">
                        <a:tint val="23500"/>
                        <a:satMod val="160000"/>
                      </a:schemeClr>
                    </a:gs>
                  </a:gsLst>
                  <a:lin ang="5400000" scaled="0"/>
                </a:gradFill>
              </a:ln>
            </c:spPr>
          </c:dPt>
          <c:dLbls>
            <c:dLbl>
              <c:idx val="5"/>
              <c:layout>
                <c:manualLayout>
                  <c:x val="0"/>
                  <c:y val="1.1019283746556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8.26446280991735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7.8709169618260532E-3"/>
                  <c:y val="5.50964187327823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65289256198347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0"/>
                  <c:y val="1.1019283746556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0"/>
                  <c:y val="1.65289256198347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4.7225501770956314E-3"/>
                  <c:y val="1.37741046831956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3.1483667847305367E-3"/>
                  <c:y val="5.50942495824385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Lapas1!$A$2:$A$25</c:f>
              <c:strCache>
                <c:ptCount val="24"/>
                <c:pt idx="0">
                  <c:v>Auksodės f.</c:v>
                </c:pt>
                <c:pt idx="1">
                  <c:v>Balėnų f.</c:v>
                </c:pt>
                <c:pt idx="2">
                  <c:v>Bugenių f.</c:v>
                </c:pt>
                <c:pt idx="3">
                  <c:v>Buknaičių f.</c:v>
                </c:pt>
                <c:pt idx="4">
                  <c:v>Kapėnų f.</c:v>
                </c:pt>
                <c:pt idx="5">
                  <c:v>Krakių f.</c:v>
                </c:pt>
                <c:pt idx="6">
                  <c:v>Laižuvos</c:v>
                </c:pt>
                <c:pt idx="7">
                  <c:v>Leckavos f.</c:v>
                </c:pt>
                <c:pt idx="8">
                  <c:v>Palnosų f.</c:v>
                </c:pt>
                <c:pt idx="9">
                  <c:v>Pikelių f.</c:v>
                </c:pt>
                <c:pt idx="10">
                  <c:v>Plinkšių f.</c:v>
                </c:pt>
                <c:pt idx="11">
                  <c:v>Purvėnų f.</c:v>
                </c:pt>
                <c:pt idx="12">
                  <c:v>Renavo f.</c:v>
                </c:pt>
                <c:pt idx="13">
                  <c:v>Šerkšnėnų f.</c:v>
                </c:pt>
                <c:pt idx="14">
                  <c:v>Tirkšlių f.</c:v>
                </c:pt>
                <c:pt idx="15">
                  <c:v>Ukrinų f.</c:v>
                </c:pt>
                <c:pt idx="16">
                  <c:v>Urvikių f.</c:v>
                </c:pt>
                <c:pt idx="17">
                  <c:v>Užlieknės f.</c:v>
                </c:pt>
                <c:pt idx="18">
                  <c:v>Žemalės f.</c:v>
                </c:pt>
                <c:pt idx="19">
                  <c:v>Židikų f.</c:v>
                </c:pt>
                <c:pt idx="20">
                  <c:v>Naftininkų f.</c:v>
                </c:pt>
                <c:pt idx="21">
                  <c:v>Reivyčių f.</c:v>
                </c:pt>
                <c:pt idx="22">
                  <c:v>Sedos miesto f.</c:v>
                </c:pt>
                <c:pt idx="23">
                  <c:v>Viekšnių miesto f.</c:v>
                </c:pt>
              </c:strCache>
            </c:strRef>
          </c:cat>
          <c:val>
            <c:numRef>
              <c:f>Lapas1!$C$2:$C$25</c:f>
              <c:numCache>
                <c:formatCode>General</c:formatCode>
                <c:ptCount val="24"/>
                <c:pt idx="0">
                  <c:v>7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6</c:v>
                </c:pt>
                <c:pt idx="7">
                  <c:v>9</c:v>
                </c:pt>
                <c:pt idx="8">
                  <c:v>4</c:v>
                </c:pt>
                <c:pt idx="9">
                  <c:v>5</c:v>
                </c:pt>
                <c:pt idx="10">
                  <c:v>4</c:v>
                </c:pt>
                <c:pt idx="11">
                  <c:v>11</c:v>
                </c:pt>
                <c:pt idx="12">
                  <c:v>0</c:v>
                </c:pt>
                <c:pt idx="13">
                  <c:v>3</c:v>
                </c:pt>
                <c:pt idx="14">
                  <c:v>4</c:v>
                </c:pt>
                <c:pt idx="15">
                  <c:v>5</c:v>
                </c:pt>
                <c:pt idx="16">
                  <c:v>0</c:v>
                </c:pt>
                <c:pt idx="17">
                  <c:v>15</c:v>
                </c:pt>
                <c:pt idx="18">
                  <c:v>0</c:v>
                </c:pt>
                <c:pt idx="19">
                  <c:v>9</c:v>
                </c:pt>
                <c:pt idx="20">
                  <c:v>6</c:v>
                </c:pt>
                <c:pt idx="21">
                  <c:v>11</c:v>
                </c:pt>
                <c:pt idx="22">
                  <c:v>9</c:v>
                </c:pt>
                <c:pt idx="23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1780736"/>
        <c:axId val="152047616"/>
      </c:barChart>
      <c:catAx>
        <c:axId val="15178073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50"/>
            </a:pPr>
            <a:endParaRPr lang="lt-LT"/>
          </a:p>
        </c:txPr>
        <c:crossAx val="152047616"/>
        <c:crosses val="autoZero"/>
        <c:auto val="1"/>
        <c:lblAlgn val="ctr"/>
        <c:lblOffset val="100"/>
        <c:noMultiLvlLbl val="0"/>
      </c:catAx>
      <c:valAx>
        <c:axId val="1520476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1780736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200"/>
          </a:pPr>
          <a:endParaRPr lang="lt-LT"/>
        </a:p>
      </c:txPr>
    </c:legend>
    <c:plotVisOnly val="1"/>
    <c:dispBlanksAs val="gap"/>
    <c:showDLblsOverMax val="0"/>
  </c:chart>
  <c:spPr>
    <a:noFill/>
    <a:ln w="25400">
      <a:gradFill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 i="1"/>
            </a:pPr>
            <a:r>
              <a:rPr lang="lt-LT" i="1"/>
              <a:t>Perskaityta  knygų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Perskaityta knygų</c:v>
                </c:pt>
              </c:strCache>
            </c:strRef>
          </c:tx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Lapas1!$A$2:$A$11</c:f>
              <c:strCache>
                <c:ptCount val="10"/>
                <c:pt idx="0">
                  <c:v>Viekšnių miesto filialas</c:v>
                </c:pt>
                <c:pt idx="1">
                  <c:v>Naftininkų filialas</c:v>
                </c:pt>
                <c:pt idx="2">
                  <c:v>Balėnų filialas</c:v>
                </c:pt>
                <c:pt idx="3">
                  <c:v>Leckavos filialas</c:v>
                </c:pt>
                <c:pt idx="4">
                  <c:v>Sedos miesto filialas</c:v>
                </c:pt>
                <c:pt idx="5">
                  <c:v>Židikų filialas</c:v>
                </c:pt>
                <c:pt idx="6">
                  <c:v>Reivyčių filialas</c:v>
                </c:pt>
                <c:pt idx="7">
                  <c:v>Purvėnų filialas</c:v>
                </c:pt>
                <c:pt idx="8">
                  <c:v>Užlieknės filialas</c:v>
                </c:pt>
                <c:pt idx="9">
                  <c:v>Mažeikių viešoji biblioteka</c:v>
                </c:pt>
              </c:strCache>
            </c:strRef>
          </c:cat>
          <c:val>
            <c:numRef>
              <c:f>Lapas1!$B$2:$B$11</c:f>
              <c:numCache>
                <c:formatCode>General</c:formatCode>
                <c:ptCount val="10"/>
                <c:pt idx="0">
                  <c:v>38</c:v>
                </c:pt>
                <c:pt idx="1">
                  <c:v>39</c:v>
                </c:pt>
                <c:pt idx="2">
                  <c:v>40</c:v>
                </c:pt>
                <c:pt idx="3">
                  <c:v>45</c:v>
                </c:pt>
                <c:pt idx="4">
                  <c:v>52</c:v>
                </c:pt>
                <c:pt idx="5">
                  <c:v>52</c:v>
                </c:pt>
                <c:pt idx="6">
                  <c:v>55</c:v>
                </c:pt>
                <c:pt idx="7">
                  <c:v>55</c:v>
                </c:pt>
                <c:pt idx="8">
                  <c:v>75</c:v>
                </c:pt>
                <c:pt idx="9">
                  <c:v>159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209898880"/>
        <c:axId val="222766208"/>
      </c:barChart>
      <c:catAx>
        <c:axId val="209898880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050"/>
            </a:pPr>
            <a:endParaRPr lang="lt-LT"/>
          </a:p>
        </c:txPr>
        <c:crossAx val="222766208"/>
        <c:crosses val="autoZero"/>
        <c:auto val="1"/>
        <c:lblAlgn val="ctr"/>
        <c:lblOffset val="100"/>
        <c:noMultiLvlLbl val="0"/>
      </c:catAx>
      <c:valAx>
        <c:axId val="22276620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209898880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ln w="25400"/>
  </c:spPr>
  <c:externalData r:id="rId1">
    <c:autoUpdate val="0"/>
  </c:externalData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C06F8-49B2-4769-BB19-FE76377A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2512</Words>
  <Characters>1433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Indrė</dc:creator>
  <cp:lastModifiedBy>Dangira1</cp:lastModifiedBy>
  <cp:revision>5</cp:revision>
  <dcterms:created xsi:type="dcterms:W3CDTF">2020-09-08T10:39:00Z</dcterms:created>
  <dcterms:modified xsi:type="dcterms:W3CDTF">2020-09-08T11:17:00Z</dcterms:modified>
</cp:coreProperties>
</file>